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F3" w:rsidRDefault="00E972F3" w:rsidP="00E972F3">
      <w:pPr>
        <w:pStyle w:val="Titre1"/>
      </w:pPr>
      <w:bookmarkStart w:id="0" w:name="_Toc403401495"/>
      <w:bookmarkStart w:id="1" w:name="_Toc535859018"/>
      <w:r>
        <w:t>THEORIE DE CHANGEMENT</w:t>
      </w:r>
      <w:bookmarkEnd w:id="0"/>
      <w:bookmarkEnd w:id="1"/>
    </w:p>
    <w:p w:rsidR="00E972F3" w:rsidRPr="005514D2" w:rsidRDefault="00E972F3" w:rsidP="00E972F3"/>
    <w:p w:rsidR="00E972F3" w:rsidRPr="00106076" w:rsidRDefault="00E972F3" w:rsidP="00E972F3">
      <w:pPr>
        <w:spacing w:after="160" w:line="360" w:lineRule="auto"/>
        <w:rPr>
          <w:rFonts w:ascii="Verdana" w:hAnsi="Verdana" w:cs="Tahoma"/>
        </w:rPr>
      </w:pPr>
      <w:r w:rsidRPr="00106076">
        <w:rPr>
          <w:rFonts w:ascii="Verdana" w:hAnsi="Verdana" w:cs="Tahoma"/>
        </w:rPr>
        <w:t xml:space="preserve">Le programme d’extension du projet « Renforcement de la santé sexuelle et reproductive des </w:t>
      </w:r>
      <w:r>
        <w:rPr>
          <w:rFonts w:ascii="Verdana" w:hAnsi="Verdana" w:cs="Tahoma"/>
        </w:rPr>
        <w:t>adolescent(e)s</w:t>
      </w:r>
      <w:r w:rsidRPr="00106076">
        <w:rPr>
          <w:rFonts w:ascii="Verdana" w:hAnsi="Verdana" w:cs="Tahoma"/>
        </w:rPr>
        <w:t xml:space="preserve"> et jeunes au Bénin » </w:t>
      </w:r>
      <w:r>
        <w:rPr>
          <w:rFonts w:ascii="Verdana" w:hAnsi="Verdana" w:cs="Tahoma"/>
        </w:rPr>
        <w:t>capitalisera sur l’expérience en cours pour accélérer la lutte contre les</w:t>
      </w:r>
      <w:r w:rsidRPr="00106076">
        <w:rPr>
          <w:rFonts w:ascii="Verdana" w:hAnsi="Verdana" w:cs="Tahoma"/>
        </w:rPr>
        <w:t xml:space="preserve"> violations des droits à la santé sexuelle et reproductive des adolescentes et jeunes. Ces violatio</w:t>
      </w:r>
      <w:r>
        <w:rPr>
          <w:rFonts w:ascii="Verdana" w:hAnsi="Verdana" w:cs="Tahoma"/>
        </w:rPr>
        <w:t>ns se traduisent par une fécondit</w:t>
      </w:r>
      <w:r w:rsidRPr="00106076">
        <w:rPr>
          <w:rFonts w:ascii="Verdana" w:hAnsi="Verdana" w:cs="Tahoma"/>
        </w:rPr>
        <w:t xml:space="preserve">é précoce et élevée chez les adolescentes de 15 – 19 ans, chiffrée en 2014 à 94 naissances vivantes pour mille femmes au plan national, à 128 pour mille dans le département de l’Alibori, et 110 pour mille dans l’Atacora, ainsi d’une mortalité maternelle élevée. </w:t>
      </w:r>
    </w:p>
    <w:p w:rsidR="00E972F3" w:rsidRPr="00106076" w:rsidRDefault="00E972F3" w:rsidP="00E972F3">
      <w:pPr>
        <w:pStyle w:val="Paragraphedeliste"/>
        <w:spacing w:line="360" w:lineRule="auto"/>
        <w:ind w:left="0"/>
        <w:rPr>
          <w:rFonts w:ascii="Verdana" w:hAnsi="Verdana" w:cs="Tahoma"/>
        </w:rPr>
      </w:pPr>
      <w:r w:rsidRPr="00106076">
        <w:rPr>
          <w:rFonts w:ascii="Verdana" w:hAnsi="Verdana" w:cs="Tahoma"/>
        </w:rPr>
        <w:t>Le programme cible à l’horizon 2023, près d’un million d’</w:t>
      </w:r>
      <w:r>
        <w:rPr>
          <w:rFonts w:ascii="Verdana" w:hAnsi="Verdana" w:cs="Tahoma"/>
        </w:rPr>
        <w:t>adolescent(e)s</w:t>
      </w:r>
      <w:r w:rsidRPr="00106076">
        <w:rPr>
          <w:rFonts w:ascii="Verdana" w:hAnsi="Verdana" w:cs="Tahoma"/>
        </w:rPr>
        <w:t xml:space="preserve"> et jeunes dont </w:t>
      </w:r>
      <w:r>
        <w:rPr>
          <w:rFonts w:ascii="Verdana" w:hAnsi="Verdana" w:cs="Tahoma"/>
        </w:rPr>
        <w:t xml:space="preserve">au moins </w:t>
      </w:r>
      <w:r w:rsidRPr="00106076">
        <w:rPr>
          <w:rFonts w:ascii="Verdana" w:hAnsi="Verdana" w:cs="Tahoma"/>
        </w:rPr>
        <w:t>877 000 dans les onze (11) communes d’intervention, et le reste dans les autres communes des départements de l’Atacora et de l’Atlantique qui bénéficieront de l’éducation à la santé sexuelle en milieu scolaire.</w:t>
      </w:r>
    </w:p>
    <w:p w:rsidR="00E972F3" w:rsidRDefault="00E972F3" w:rsidP="00E972F3">
      <w:pPr>
        <w:pStyle w:val="Titre2"/>
        <w:numPr>
          <w:ilvl w:val="1"/>
          <w:numId w:val="4"/>
        </w:numPr>
      </w:pPr>
      <w:bookmarkStart w:id="2" w:name="_Toc403037173"/>
      <w:bookmarkStart w:id="3" w:name="_Toc403401496"/>
      <w:bookmarkStart w:id="4" w:name="_Toc535859019"/>
      <w:r>
        <w:t>Les problèmes prioritaires</w:t>
      </w:r>
      <w:bookmarkEnd w:id="2"/>
      <w:bookmarkEnd w:id="3"/>
      <w:bookmarkEnd w:id="4"/>
    </w:p>
    <w:p w:rsidR="00E972F3" w:rsidRPr="00D1341E" w:rsidRDefault="00E972F3" w:rsidP="00E972F3">
      <w:pPr>
        <w:spacing w:after="160" w:line="360" w:lineRule="auto"/>
        <w:rPr>
          <w:rFonts w:ascii="Verdana" w:eastAsiaTheme="minorHAnsi" w:hAnsi="Verdana" w:cstheme="minorHAnsi"/>
        </w:rPr>
      </w:pPr>
      <w:r>
        <w:rPr>
          <w:rFonts w:ascii="Verdana" w:eastAsiaTheme="minorHAnsi" w:hAnsi="Verdana" w:cstheme="minorHAnsi"/>
        </w:rPr>
        <w:t>De l’analyse du</w:t>
      </w:r>
      <w:r w:rsidRPr="00D1341E">
        <w:rPr>
          <w:rFonts w:ascii="Verdana" w:eastAsiaTheme="minorHAnsi" w:hAnsi="Verdana" w:cstheme="minorHAnsi"/>
        </w:rPr>
        <w:t xml:space="preserve"> contexte, les problèmes prioritaires qui ressortent sont :</w:t>
      </w:r>
    </w:p>
    <w:p w:rsidR="00E972F3" w:rsidRPr="00106076" w:rsidRDefault="00E972F3" w:rsidP="00E972F3">
      <w:pPr>
        <w:pStyle w:val="Paragraphedeliste"/>
        <w:numPr>
          <w:ilvl w:val="0"/>
          <w:numId w:val="2"/>
        </w:numPr>
        <w:spacing w:after="160"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Taux de fécondité</w:t>
      </w:r>
      <w:r w:rsidRPr="00106076">
        <w:rPr>
          <w:rFonts w:ascii="Verdana" w:hAnsi="Verdana" w:cs="Tahoma"/>
        </w:rPr>
        <w:t xml:space="preserve"> des adolescentes et jeunes très élevé ;</w:t>
      </w:r>
    </w:p>
    <w:p w:rsidR="00E972F3" w:rsidRDefault="00E972F3" w:rsidP="00E972F3">
      <w:pPr>
        <w:pStyle w:val="Paragraphedeliste"/>
        <w:numPr>
          <w:ilvl w:val="0"/>
          <w:numId w:val="2"/>
        </w:numPr>
        <w:spacing w:after="160" w:line="360" w:lineRule="auto"/>
        <w:rPr>
          <w:rFonts w:ascii="Verdana" w:hAnsi="Verdana" w:cs="Tahoma"/>
        </w:rPr>
      </w:pPr>
      <w:r w:rsidRPr="00106076">
        <w:rPr>
          <w:rFonts w:ascii="Verdana" w:hAnsi="Verdana" w:cs="Tahoma"/>
        </w:rPr>
        <w:t xml:space="preserve">Manque d’accès à l’information de qualité en Santé Sexuelle et Reproductive des </w:t>
      </w:r>
      <w:r>
        <w:rPr>
          <w:rFonts w:ascii="Verdana" w:hAnsi="Verdana" w:cs="Tahoma"/>
        </w:rPr>
        <w:t>adolescent(e)s</w:t>
      </w:r>
      <w:r w:rsidRPr="00106076">
        <w:rPr>
          <w:rFonts w:ascii="Verdana" w:hAnsi="Verdana" w:cs="Tahoma"/>
        </w:rPr>
        <w:t xml:space="preserve"> et jeunes</w:t>
      </w:r>
      <w:r>
        <w:rPr>
          <w:rFonts w:ascii="Verdana" w:hAnsi="Verdana" w:cs="Tahoma"/>
        </w:rPr>
        <w:t xml:space="preserve"> (SSRAJ),</w:t>
      </w:r>
      <w:r w:rsidRPr="00106076">
        <w:rPr>
          <w:rFonts w:ascii="Verdana" w:hAnsi="Verdana" w:cs="Tahoma"/>
        </w:rPr>
        <w:t xml:space="preserve"> </w:t>
      </w:r>
    </w:p>
    <w:p w:rsidR="00E972F3" w:rsidRPr="00106076" w:rsidRDefault="00E972F3" w:rsidP="00E972F3">
      <w:pPr>
        <w:pStyle w:val="Paragraphedeliste"/>
        <w:numPr>
          <w:ilvl w:val="0"/>
          <w:numId w:val="2"/>
        </w:numPr>
        <w:spacing w:after="160"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I</w:t>
      </w:r>
      <w:r w:rsidRPr="00106076">
        <w:rPr>
          <w:rFonts w:ascii="Verdana" w:hAnsi="Verdana" w:cs="Tahoma"/>
        </w:rPr>
        <w:t>nsuffisance de services de contraception ;</w:t>
      </w:r>
    </w:p>
    <w:p w:rsidR="00E972F3" w:rsidRPr="00106076" w:rsidRDefault="00E972F3" w:rsidP="00E972F3">
      <w:pPr>
        <w:pStyle w:val="Paragraphedeliste"/>
        <w:numPr>
          <w:ilvl w:val="0"/>
          <w:numId w:val="2"/>
        </w:numPr>
        <w:spacing w:after="160" w:line="360" w:lineRule="auto"/>
        <w:rPr>
          <w:rFonts w:ascii="Verdana" w:hAnsi="Verdana" w:cs="Tahoma"/>
        </w:rPr>
      </w:pPr>
      <w:r w:rsidRPr="00106076">
        <w:rPr>
          <w:rFonts w:ascii="Verdana" w:hAnsi="Verdana" w:cs="Tahoma"/>
        </w:rPr>
        <w:t xml:space="preserve">Insuffisance de coordination nationale et locale des interventions de </w:t>
      </w:r>
      <w:r>
        <w:rPr>
          <w:rFonts w:ascii="Verdana" w:hAnsi="Verdana" w:cs="Tahoma"/>
        </w:rPr>
        <w:t xml:space="preserve">la </w:t>
      </w:r>
      <w:r w:rsidRPr="00106076">
        <w:rPr>
          <w:rFonts w:ascii="Verdana" w:hAnsi="Verdana" w:cs="Tahoma"/>
        </w:rPr>
        <w:t>SRAJ ;</w:t>
      </w:r>
    </w:p>
    <w:p w:rsidR="00E972F3" w:rsidRDefault="00E972F3" w:rsidP="00E972F3">
      <w:pPr>
        <w:pStyle w:val="Titre2"/>
      </w:pPr>
      <w:bookmarkStart w:id="5" w:name="_Toc403037174"/>
      <w:bookmarkStart w:id="6" w:name="_Toc403401497"/>
      <w:bookmarkStart w:id="7" w:name="_Toc535859020"/>
      <w:r>
        <w:t>L'objectif général et les résultats</w:t>
      </w:r>
      <w:bookmarkEnd w:id="5"/>
      <w:bookmarkEnd w:id="6"/>
      <w:bookmarkEnd w:id="7"/>
    </w:p>
    <w:p w:rsidR="00E972F3" w:rsidRPr="00EE539E" w:rsidRDefault="00E972F3" w:rsidP="00E972F3"/>
    <w:p w:rsidR="00E972F3" w:rsidRDefault="00E972F3" w:rsidP="00E972F3">
      <w:pPr>
        <w:pStyle w:val="Sansinterligne"/>
        <w:rPr>
          <w:b/>
          <w:i/>
        </w:rPr>
      </w:pPr>
      <w:bookmarkStart w:id="8" w:name="_Toc403037175"/>
      <w:bookmarkStart w:id="9" w:name="_Toc403401498"/>
      <w:r w:rsidRPr="00EE539E">
        <w:rPr>
          <w:b/>
          <w:i/>
        </w:rPr>
        <w:t>L'objectif général</w:t>
      </w:r>
      <w:bookmarkEnd w:id="8"/>
      <w:bookmarkEnd w:id="9"/>
    </w:p>
    <w:p w:rsidR="00E972F3" w:rsidRPr="00EE539E" w:rsidRDefault="00E972F3" w:rsidP="00E972F3">
      <w:pPr>
        <w:pStyle w:val="Sansinterligne"/>
        <w:rPr>
          <w:b/>
          <w:i/>
        </w:rPr>
      </w:pPr>
    </w:p>
    <w:p w:rsidR="00E972F3" w:rsidRPr="00105014" w:rsidRDefault="00E972F3" w:rsidP="00E972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1"/>
        <w:rPr>
          <w:rFonts w:ascii="Verdana" w:eastAsia="Tahoma" w:hAnsi="Verdana" w:cstheme="majorHAnsi"/>
        </w:rPr>
      </w:pPr>
      <w:r w:rsidRPr="00105014">
        <w:rPr>
          <w:rFonts w:ascii="Verdana" w:eastAsia="Tahoma" w:hAnsi="Verdana" w:cstheme="majorHAnsi"/>
        </w:rPr>
        <w:t xml:space="preserve">Réaliser les droits à la santé sexuelle et reproductive des </w:t>
      </w:r>
      <w:r>
        <w:rPr>
          <w:rFonts w:ascii="Verdana" w:eastAsia="Tahoma" w:hAnsi="Verdana" w:cstheme="majorHAnsi"/>
        </w:rPr>
        <w:t>adolescent(e)s</w:t>
      </w:r>
      <w:r w:rsidRPr="00105014">
        <w:rPr>
          <w:rFonts w:ascii="Verdana" w:eastAsia="Tahoma" w:hAnsi="Verdana" w:cstheme="majorHAnsi"/>
        </w:rPr>
        <w:t xml:space="preserve"> et jeunes du Bénin à travers l’accroissement de la disponibilité, de l’accessibilité et de l’u</w:t>
      </w:r>
      <w:r>
        <w:rPr>
          <w:rFonts w:ascii="Verdana" w:eastAsia="Tahoma" w:hAnsi="Verdana" w:cstheme="majorHAnsi"/>
        </w:rPr>
        <w:t xml:space="preserve">tilisation des informations et </w:t>
      </w:r>
      <w:r w:rsidRPr="00105014">
        <w:rPr>
          <w:rFonts w:ascii="Verdana" w:eastAsia="Tahoma" w:hAnsi="Verdana" w:cstheme="majorHAnsi"/>
        </w:rPr>
        <w:t>services adaptés</w:t>
      </w:r>
      <w:r>
        <w:rPr>
          <w:rFonts w:ascii="Verdana" w:eastAsia="Tahoma" w:hAnsi="Verdana" w:cstheme="majorHAnsi"/>
        </w:rPr>
        <w:t xml:space="preserve"> à ce groupe d'âge.</w:t>
      </w:r>
    </w:p>
    <w:p w:rsidR="00E972F3" w:rsidRDefault="00E972F3" w:rsidP="00E972F3">
      <w:pPr>
        <w:pStyle w:val="Titre3"/>
        <w:sectPr w:rsidR="00E972F3" w:rsidSect="00E972F3">
          <w:footerReference w:type="even" r:id="rId7"/>
          <w:footerReference w:type="default" r:id="rId8"/>
          <w:pgSz w:w="11900" w:h="16820"/>
          <w:pgMar w:top="1559" w:right="1418" w:bottom="1588" w:left="1531" w:header="1134" w:footer="284" w:gutter="0"/>
          <w:cols w:space="708"/>
          <w:titlePg/>
          <w:docGrid w:linePitch="360"/>
        </w:sectPr>
      </w:pPr>
      <w:bookmarkStart w:id="10" w:name="_Toc403037176"/>
      <w:bookmarkStart w:id="11" w:name="_Toc403401499"/>
    </w:p>
    <w:p w:rsidR="00E972F3" w:rsidRPr="00EE539E" w:rsidRDefault="00E972F3" w:rsidP="00E972F3">
      <w:pPr>
        <w:pStyle w:val="Sansinterligne"/>
        <w:rPr>
          <w:b/>
          <w:i/>
        </w:rPr>
      </w:pPr>
      <w:r w:rsidRPr="00EE539E">
        <w:rPr>
          <w:b/>
          <w:i/>
        </w:rPr>
        <w:lastRenderedPageBreak/>
        <w:t>Les résultats</w:t>
      </w:r>
      <w:bookmarkEnd w:id="10"/>
      <w:bookmarkEnd w:id="11"/>
    </w:p>
    <w:p w:rsidR="00E972F3" w:rsidRPr="007C1564" w:rsidRDefault="00E972F3" w:rsidP="00E972F3">
      <w:pPr>
        <w:pStyle w:val="Sansinterligne"/>
        <w:rPr>
          <w:b/>
          <w:i/>
          <w:color w:val="ACB9CA" w:themeColor="text2" w:themeTint="66"/>
        </w:rPr>
      </w:pPr>
    </w:p>
    <w:p w:rsidR="00E972F3" w:rsidRPr="00724628" w:rsidRDefault="00E972F3" w:rsidP="00E972F3">
      <w:pPr>
        <w:spacing w:line="360" w:lineRule="auto"/>
        <w:rPr>
          <w:rFonts w:ascii="Verdana" w:hAnsi="Verdana"/>
          <w:b/>
          <w:bCs/>
        </w:rPr>
      </w:pPr>
      <w:r w:rsidRPr="00724628">
        <w:rPr>
          <w:rFonts w:ascii="Verdana" w:hAnsi="Verdana"/>
          <w:bCs/>
        </w:rPr>
        <w:t xml:space="preserve">Les résultats retenus pour le programme sont les </w:t>
      </w:r>
      <w:proofErr w:type="gramStart"/>
      <w:r w:rsidRPr="00724628">
        <w:rPr>
          <w:rFonts w:ascii="Verdana" w:hAnsi="Verdana"/>
          <w:bCs/>
        </w:rPr>
        <w:t>suivants</w:t>
      </w:r>
      <w:r w:rsidRPr="00724628">
        <w:rPr>
          <w:rFonts w:ascii="Verdana" w:hAnsi="Verdana"/>
          <w:b/>
          <w:bCs/>
        </w:rPr>
        <w:t>:</w:t>
      </w:r>
      <w:proofErr w:type="gramEnd"/>
      <w:r w:rsidRPr="00724628">
        <w:rPr>
          <w:rFonts w:ascii="Verdana" w:hAnsi="Verdana"/>
          <w:b/>
          <w:bCs/>
        </w:rPr>
        <w:t xml:space="preserve"> </w:t>
      </w:r>
    </w:p>
    <w:p w:rsidR="00E972F3" w:rsidRPr="007C1564" w:rsidRDefault="00E972F3" w:rsidP="00E972F3">
      <w:pPr>
        <w:spacing w:line="360" w:lineRule="auto"/>
        <w:rPr>
          <w:rFonts w:ascii="Verdana" w:hAnsi="Verdana"/>
        </w:rPr>
      </w:pPr>
      <w:r w:rsidRPr="00724628">
        <w:rPr>
          <w:rFonts w:ascii="Verdana" w:hAnsi="Verdana"/>
          <w:b/>
          <w:bCs/>
        </w:rPr>
        <w:t>R1</w:t>
      </w:r>
      <w:r w:rsidRPr="00724628">
        <w:rPr>
          <w:rFonts w:ascii="Verdana" w:hAnsi="Verdana"/>
        </w:rPr>
        <w:t xml:space="preserve">. </w:t>
      </w:r>
      <w:r w:rsidRPr="00724628">
        <w:rPr>
          <w:rFonts w:ascii="Verdana" w:hAnsi="Verdana" w:cs="Tahoma"/>
        </w:rPr>
        <w:t xml:space="preserve">D’ici 2023, </w:t>
      </w:r>
      <w:r>
        <w:rPr>
          <w:rFonts w:ascii="Verdana" w:hAnsi="Verdana" w:cs="Tahoma"/>
        </w:rPr>
        <w:t xml:space="preserve">au moins </w:t>
      </w:r>
      <w:r w:rsidRPr="00724628">
        <w:rPr>
          <w:rFonts w:ascii="Verdana" w:hAnsi="Verdana" w:cs="Tahoma"/>
        </w:rPr>
        <w:t xml:space="preserve">877.000 </w:t>
      </w:r>
      <w:r>
        <w:rPr>
          <w:rFonts w:ascii="Verdana" w:hAnsi="Verdana" w:cs="Tahoma"/>
        </w:rPr>
        <w:t>adolescent(e)s</w:t>
      </w:r>
      <w:r w:rsidRPr="00724628">
        <w:rPr>
          <w:rFonts w:ascii="Verdana" w:hAnsi="Verdana" w:cs="Tahoma"/>
        </w:rPr>
        <w:t xml:space="preserve"> et jeunes ont bénéficié d’un programme d’éducation à la santé sexuelle dans </w:t>
      </w:r>
      <w:r w:rsidRPr="001116AB">
        <w:rPr>
          <w:rFonts w:ascii="Verdana" w:hAnsi="Verdana" w:cs="Tahoma"/>
        </w:rPr>
        <w:t xml:space="preserve">1272 </w:t>
      </w:r>
      <w:r>
        <w:rPr>
          <w:rFonts w:ascii="Verdana" w:hAnsi="Verdana" w:cs="Tahoma"/>
        </w:rPr>
        <w:t xml:space="preserve"> </w:t>
      </w:r>
      <w:r w:rsidRPr="00724628">
        <w:rPr>
          <w:rFonts w:ascii="Verdana" w:hAnsi="Verdana" w:cs="Tahoma"/>
        </w:rPr>
        <w:t>établissements</w:t>
      </w:r>
      <w:r>
        <w:rPr>
          <w:rFonts w:ascii="Verdana" w:hAnsi="Verdana" w:cs="Tahoma"/>
        </w:rPr>
        <w:t xml:space="preserve"> primaires publics et</w:t>
      </w:r>
      <w:r w:rsidRPr="00724628">
        <w:rPr>
          <w:rFonts w:ascii="Verdana" w:hAnsi="Verdana" w:cs="Tahoma"/>
        </w:rPr>
        <w:t xml:space="preserve"> secondaires publics</w:t>
      </w:r>
      <w:r>
        <w:rPr>
          <w:rFonts w:ascii="Verdana" w:hAnsi="Verdana" w:cs="Tahoma"/>
        </w:rPr>
        <w:t>/</w:t>
      </w:r>
      <w:r w:rsidRPr="00724628">
        <w:rPr>
          <w:rFonts w:ascii="Verdana" w:hAnsi="Verdana" w:cs="Tahoma"/>
        </w:rPr>
        <w:t xml:space="preserve">privés, </w:t>
      </w:r>
      <w:r>
        <w:rPr>
          <w:rFonts w:ascii="Verdana" w:hAnsi="Verdana" w:cs="Tahoma"/>
        </w:rPr>
        <w:t xml:space="preserve">dans les 2 écoles de formation initiales des sages- femmes et des infirmiers infirmières de santé  </w:t>
      </w:r>
      <w:r w:rsidRPr="00724628">
        <w:rPr>
          <w:rFonts w:ascii="Verdana" w:hAnsi="Verdana" w:cs="Tahoma"/>
        </w:rPr>
        <w:t xml:space="preserve">et dans les communautés des 11 communes d’intervention du </w:t>
      </w:r>
      <w:r w:rsidRPr="00724628">
        <w:rPr>
          <w:rFonts w:ascii="Verdana" w:hAnsi="Verdana"/>
        </w:rPr>
        <w:t>programme</w:t>
      </w:r>
      <w:r w:rsidRPr="00724628">
        <w:rPr>
          <w:rStyle w:val="Appelnotedebasdep"/>
          <w:rFonts w:ascii="Verdana" w:hAnsi="Verdana"/>
        </w:rPr>
        <w:footnoteReference w:id="1"/>
      </w:r>
      <w:r>
        <w:rPr>
          <w:rFonts w:ascii="Verdana" w:hAnsi="Verdana"/>
        </w:rPr>
        <w:t>;</w:t>
      </w:r>
    </w:p>
    <w:p w:rsidR="00E972F3" w:rsidRPr="007C1564" w:rsidRDefault="00E972F3" w:rsidP="00E972F3">
      <w:pPr>
        <w:spacing w:line="360" w:lineRule="auto"/>
        <w:rPr>
          <w:rFonts w:ascii="Verdana" w:hAnsi="Verdana"/>
        </w:rPr>
      </w:pPr>
      <w:r w:rsidRPr="00724628">
        <w:rPr>
          <w:rFonts w:ascii="Verdana" w:hAnsi="Verdana"/>
          <w:b/>
          <w:bCs/>
        </w:rPr>
        <w:t>R2</w:t>
      </w:r>
      <w:r w:rsidRPr="00724628">
        <w:rPr>
          <w:rFonts w:ascii="Verdana" w:hAnsi="Verdana"/>
        </w:rPr>
        <w:t xml:space="preserve">. </w:t>
      </w:r>
      <w:r w:rsidRPr="00724628">
        <w:rPr>
          <w:rFonts w:ascii="Verdana" w:hAnsi="Verdana" w:cs="Tahoma"/>
        </w:rPr>
        <w:t xml:space="preserve">D’ici 2023, </w:t>
      </w:r>
      <w:r w:rsidRPr="001116AB">
        <w:rPr>
          <w:rFonts w:ascii="Verdana" w:hAnsi="Verdana" w:cs="Tahoma"/>
        </w:rPr>
        <w:t xml:space="preserve">877.000 </w:t>
      </w:r>
      <w:r>
        <w:rPr>
          <w:rFonts w:ascii="Verdana" w:hAnsi="Verdana" w:cs="Tahoma"/>
        </w:rPr>
        <w:t>adolescent(e)s</w:t>
      </w:r>
      <w:r w:rsidRPr="00724628">
        <w:rPr>
          <w:rFonts w:ascii="Verdana" w:hAnsi="Verdana" w:cs="Tahoma"/>
        </w:rPr>
        <w:t xml:space="preserve"> et jeu</w:t>
      </w:r>
      <w:r>
        <w:rPr>
          <w:rFonts w:ascii="Verdana" w:hAnsi="Verdana" w:cs="Tahoma"/>
        </w:rPr>
        <w:t>nes ont accès à l'information et aux services de SSRAJ de qualité</w:t>
      </w:r>
      <w:r w:rsidRPr="00724628">
        <w:rPr>
          <w:rFonts w:ascii="Verdana" w:hAnsi="Verdana" w:cs="Tahoma"/>
        </w:rPr>
        <w:t xml:space="preserve"> dans les zones d’intervention du </w:t>
      </w:r>
      <w:r w:rsidRPr="00724628">
        <w:rPr>
          <w:rFonts w:ascii="Verdana" w:hAnsi="Verdana"/>
        </w:rPr>
        <w:t>programme</w:t>
      </w:r>
      <w:r w:rsidRPr="00724628">
        <w:rPr>
          <w:rStyle w:val="Appelnotedebasdep"/>
          <w:rFonts w:ascii="Verdana" w:hAnsi="Verdana" w:cstheme="majorHAnsi"/>
        </w:rPr>
        <w:footnoteReference w:id="2"/>
      </w:r>
      <w:r>
        <w:rPr>
          <w:rFonts w:ascii="Verdana" w:hAnsi="Verdana"/>
        </w:rPr>
        <w:t>;</w:t>
      </w:r>
    </w:p>
    <w:p w:rsidR="00E972F3" w:rsidRPr="00DA0D96" w:rsidRDefault="00E972F3" w:rsidP="00E972F3">
      <w:pPr>
        <w:spacing w:line="360" w:lineRule="auto"/>
        <w:rPr>
          <w:rFonts w:ascii="Verdana" w:hAnsi="Verdana"/>
        </w:rPr>
      </w:pPr>
      <w:r w:rsidRPr="00724628">
        <w:rPr>
          <w:rFonts w:ascii="Verdana" w:hAnsi="Verdana"/>
          <w:b/>
          <w:bCs/>
        </w:rPr>
        <w:t>R3.</w:t>
      </w:r>
      <w:r w:rsidRPr="00724628">
        <w:rPr>
          <w:rFonts w:ascii="Verdana" w:hAnsi="Verdana"/>
        </w:rPr>
        <w:t xml:space="preserve">  </w:t>
      </w:r>
      <w:r w:rsidRPr="00724628">
        <w:rPr>
          <w:rFonts w:ascii="Verdana" w:hAnsi="Verdana" w:cs="Tahoma"/>
        </w:rPr>
        <w:t>D’ici 2023, La planification, la coordination sectorielle et le suivi / évaluation du programme sont améliorées au niveau des ministères en charge</w:t>
      </w:r>
      <w:r>
        <w:rPr>
          <w:rFonts w:ascii="Verdana" w:hAnsi="Verdana" w:cs="Tahoma"/>
        </w:rPr>
        <w:t xml:space="preserve"> : de </w:t>
      </w:r>
      <w:r w:rsidRPr="001116AB">
        <w:rPr>
          <w:rFonts w:ascii="Verdana" w:hAnsi="Verdana" w:cs="Tahoma"/>
        </w:rPr>
        <w:t xml:space="preserve">l’éducation maternel et primaire, des enseignements </w:t>
      </w:r>
      <w:r w:rsidRPr="00724628">
        <w:rPr>
          <w:rFonts w:ascii="Verdana" w:hAnsi="Verdana" w:cs="Tahoma"/>
        </w:rPr>
        <w:t>secondaire et supérieur, de la santé, des affaires sociales et des collectivités locales avec l’impli</w:t>
      </w:r>
      <w:r>
        <w:rPr>
          <w:rFonts w:ascii="Verdana" w:hAnsi="Verdana" w:cs="Tahoma"/>
        </w:rPr>
        <w:t>cation des associations de jeunes.</w:t>
      </w:r>
    </w:p>
    <w:p w:rsidR="00E972F3" w:rsidRPr="00202893" w:rsidRDefault="00E972F3" w:rsidP="00E972F3">
      <w:pPr>
        <w:pStyle w:val="Titre2"/>
      </w:pPr>
      <w:bookmarkStart w:id="12" w:name="_Toc403401500"/>
      <w:bookmarkStart w:id="13" w:name="_Toc535859021"/>
      <w:r>
        <w:t>Les hypothèses</w:t>
      </w:r>
      <w:bookmarkEnd w:id="12"/>
      <w:bookmarkEnd w:id="13"/>
    </w:p>
    <w:p w:rsidR="00E972F3" w:rsidRPr="00724628" w:rsidRDefault="00E972F3" w:rsidP="00E972F3">
      <w:pPr>
        <w:pStyle w:val="Sansinterligne"/>
        <w:spacing w:line="360" w:lineRule="auto"/>
      </w:pPr>
      <w:r w:rsidRPr="00724628">
        <w:t xml:space="preserve">Les hypothèses qui sous-tendent la théorie de changement sont énoncées comme suit : </w:t>
      </w:r>
    </w:p>
    <w:p w:rsidR="00E972F3" w:rsidRDefault="00E972F3" w:rsidP="00E972F3">
      <w:pPr>
        <w:pStyle w:val="Sansinterligne"/>
        <w:numPr>
          <w:ilvl w:val="0"/>
          <w:numId w:val="3"/>
        </w:numPr>
        <w:spacing w:line="360" w:lineRule="auto"/>
        <w:ind w:left="714" w:hanging="357"/>
      </w:pPr>
      <w:r w:rsidRPr="00202893">
        <w:t>Cadre institutionnel ESS : le Benin respecte son engagement et met en œuvre l’ESS avec l'appui de l’UNFPA ;</w:t>
      </w:r>
    </w:p>
    <w:p w:rsidR="00E972F3" w:rsidRDefault="00E972F3" w:rsidP="00E972F3">
      <w:pPr>
        <w:pStyle w:val="Sansinterligne"/>
        <w:numPr>
          <w:ilvl w:val="0"/>
          <w:numId w:val="3"/>
        </w:numPr>
        <w:spacing w:line="360" w:lineRule="auto"/>
        <w:ind w:left="714" w:hanging="357"/>
      </w:pPr>
      <w:r w:rsidRPr="00202893">
        <w:t xml:space="preserve">Les normes sociales et culturelles se transforment positivement vis-à-vis du respect des droits à la santé sexuelle et reproductive des </w:t>
      </w:r>
      <w:r>
        <w:t>adolescent(e)s</w:t>
      </w:r>
      <w:r w:rsidRPr="00202893">
        <w:t xml:space="preserve"> et jeunes ;</w:t>
      </w:r>
    </w:p>
    <w:p w:rsidR="00E972F3" w:rsidRDefault="00E972F3" w:rsidP="00E972F3">
      <w:pPr>
        <w:pStyle w:val="Sansinterligne"/>
        <w:numPr>
          <w:ilvl w:val="0"/>
          <w:numId w:val="3"/>
        </w:numPr>
        <w:spacing w:line="360" w:lineRule="auto"/>
        <w:ind w:left="714" w:hanging="357"/>
      </w:pPr>
      <w:r w:rsidRPr="00202893">
        <w:t>Gratuité d</w:t>
      </w:r>
      <w:r>
        <w:t>es méthodes contraceptives : le Bé</w:t>
      </w:r>
      <w:r w:rsidRPr="00202893">
        <w:t xml:space="preserve">nin respecte son engagement et exempte les bénéficiaires des coûts directs des méthodes contraceptives, surtout pour les jeunes filles, grâce aux initiatives de plaidoyer impliquant fortement </w:t>
      </w:r>
      <w:r>
        <w:t xml:space="preserve">l’UNFPA et </w:t>
      </w:r>
      <w:r w:rsidRPr="00202893">
        <w:t xml:space="preserve">les organisations de jeunes et </w:t>
      </w:r>
      <w:r>
        <w:t>la coalition des OSC pour la PF,</w:t>
      </w:r>
    </w:p>
    <w:p w:rsidR="007055B3" w:rsidRDefault="00E972F3" w:rsidP="00E972F3">
      <w:r w:rsidRPr="00202893">
        <w:t>Engagement des parents/communautés : les communautés c</w:t>
      </w:r>
      <w:r>
        <w:t>omprennent les avantages de l’ES</w:t>
      </w:r>
      <w:r w:rsidRPr="00202893">
        <w:t>S pour la réduction des grossesses non désirées </w:t>
      </w:r>
      <w:bookmarkStart w:id="14" w:name="_GoBack"/>
      <w:bookmarkEnd w:id="14"/>
    </w:p>
    <w:sectPr w:rsidR="0070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7D" w:rsidRDefault="00A77C7D" w:rsidP="00E972F3">
      <w:r>
        <w:separator/>
      </w:r>
    </w:p>
  </w:endnote>
  <w:endnote w:type="continuationSeparator" w:id="0">
    <w:p w:rsidR="00A77C7D" w:rsidRDefault="00A77C7D" w:rsidP="00E9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F3" w:rsidRDefault="00E972F3" w:rsidP="00A477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972F3" w:rsidRDefault="00E972F3" w:rsidP="0028138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F3" w:rsidRDefault="00E972F3" w:rsidP="00A477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E972F3" w:rsidRDefault="00E972F3" w:rsidP="00BD704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7D" w:rsidRDefault="00A77C7D" w:rsidP="00E972F3">
      <w:r>
        <w:separator/>
      </w:r>
    </w:p>
  </w:footnote>
  <w:footnote w:type="continuationSeparator" w:id="0">
    <w:p w:rsidR="00A77C7D" w:rsidRDefault="00A77C7D" w:rsidP="00E972F3">
      <w:r>
        <w:continuationSeparator/>
      </w:r>
    </w:p>
  </w:footnote>
  <w:footnote w:id="1">
    <w:p w:rsidR="00E972F3" w:rsidRPr="007059B6" w:rsidRDefault="00E972F3" w:rsidP="00E972F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059B6">
        <w:rPr>
          <w:rFonts w:ascii="Verdana" w:hAnsi="Verdana"/>
          <w:sz w:val="18"/>
          <w:szCs w:val="18"/>
        </w:rPr>
        <w:t xml:space="preserve">Zone d'intervention </w:t>
      </w:r>
      <w:proofErr w:type="gramStart"/>
      <w:r w:rsidRPr="007059B6">
        <w:rPr>
          <w:rFonts w:ascii="Verdana" w:hAnsi="Verdana"/>
          <w:sz w:val="18"/>
          <w:szCs w:val="18"/>
        </w:rPr>
        <w:t>ESS:</w:t>
      </w:r>
      <w:proofErr w:type="gramEnd"/>
      <w:r w:rsidRPr="007059B6">
        <w:rPr>
          <w:rFonts w:ascii="Verdana" w:hAnsi="Verdana"/>
          <w:sz w:val="18"/>
          <w:szCs w:val="18"/>
        </w:rPr>
        <w:t xml:space="preserve"> </w:t>
      </w:r>
      <w:r w:rsidRPr="007059B6">
        <w:rPr>
          <w:rFonts w:ascii="Verdana" w:eastAsia="Tahoma" w:hAnsi="Verdana" w:cstheme="majorHAnsi"/>
          <w:sz w:val="18"/>
          <w:szCs w:val="18"/>
        </w:rPr>
        <w:t xml:space="preserve">354 établissements secondaires publics et privés ( y inclus les lycées des filles et les écoles militaires)  et dans les communautés des 11 communes d’intervention du projet (AS, 2KP, BNK, KGS et MK). </w:t>
      </w:r>
    </w:p>
  </w:footnote>
  <w:footnote w:id="2">
    <w:p w:rsidR="00E972F3" w:rsidRDefault="00E972F3" w:rsidP="00E972F3">
      <w:pPr>
        <w:pStyle w:val="Notedebasdepage"/>
        <w:rPr>
          <w:rFonts w:ascii="Verdana" w:hAnsi="Verdana"/>
          <w:sz w:val="18"/>
          <w:szCs w:val="18"/>
        </w:rPr>
      </w:pPr>
      <w:r w:rsidRPr="007059B6">
        <w:rPr>
          <w:rStyle w:val="Appelnotedebasdep"/>
        </w:rPr>
        <w:footnoteRef/>
      </w:r>
      <w:r>
        <w:rPr>
          <w:rFonts w:ascii="Verdana" w:hAnsi="Verdana"/>
          <w:sz w:val="18"/>
          <w:szCs w:val="18"/>
        </w:rPr>
        <w:t xml:space="preserve"> Etablissements d'</w:t>
      </w:r>
      <w:r w:rsidRPr="007059B6">
        <w:rPr>
          <w:rFonts w:ascii="Verdana" w:hAnsi="Verdana"/>
          <w:sz w:val="18"/>
          <w:szCs w:val="18"/>
        </w:rPr>
        <w:t xml:space="preserve">interventions services </w:t>
      </w:r>
      <w:proofErr w:type="gramStart"/>
      <w:r w:rsidRPr="007059B6">
        <w:rPr>
          <w:rFonts w:ascii="Verdana" w:hAnsi="Verdana"/>
          <w:sz w:val="18"/>
          <w:szCs w:val="18"/>
        </w:rPr>
        <w:t>SRAJ:</w:t>
      </w:r>
      <w:proofErr w:type="gramEnd"/>
      <w:r w:rsidRPr="007059B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918 écoles primaires, </w:t>
      </w:r>
    </w:p>
    <w:p w:rsidR="00E972F3" w:rsidRPr="00A11E1D" w:rsidRDefault="00E972F3" w:rsidP="00E972F3">
      <w:pPr>
        <w:pStyle w:val="Notedebasdepage"/>
      </w:pPr>
      <w:r w:rsidRPr="007059B6">
        <w:rPr>
          <w:rFonts w:ascii="Verdana" w:eastAsia="Tahoma" w:hAnsi="Verdana" w:cstheme="majorHAnsi"/>
          <w:sz w:val="18"/>
          <w:szCs w:val="18"/>
        </w:rPr>
        <w:t>354 établissements secondaires publics et privés et dans les communautés des 11 communes d’intervention du projet (AS, 2KP, BNK, KGS et MK)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836"/>
    <w:multiLevelType w:val="hybridMultilevel"/>
    <w:tmpl w:val="53901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DC0"/>
    <w:multiLevelType w:val="multilevel"/>
    <w:tmpl w:val="FCEED2C4"/>
    <w:lvl w:ilvl="0">
      <w:start w:val="1"/>
      <w:numFmt w:val="decimal"/>
      <w:pStyle w:val="Titre1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."/>
      <w:lvlJc w:val="left"/>
      <w:pPr>
        <w:ind w:left="114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367A84"/>
    <w:multiLevelType w:val="hybridMultilevel"/>
    <w:tmpl w:val="E44CD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3"/>
    <w:rsid w:val="007055B3"/>
    <w:rsid w:val="00A77C7D"/>
    <w:rsid w:val="00DF6783"/>
    <w:rsid w:val="00E41C3C"/>
    <w:rsid w:val="00E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FD74-8A87-4B8E-AB58-3F9AC948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2F3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E972F3"/>
    <w:pPr>
      <w:keepNext/>
      <w:keepLines/>
      <w:numPr>
        <w:numId w:val="1"/>
      </w:numPr>
      <w:spacing w:before="480"/>
      <w:ind w:left="786"/>
      <w:outlineLvl w:val="0"/>
    </w:pPr>
    <w:rPr>
      <w:rFonts w:ascii="Verdana" w:eastAsiaTheme="majorEastAsia" w:hAnsi="Verdana" w:cstheme="majorBidi"/>
      <w:b/>
      <w:bCs/>
      <w:color w:val="2C6EA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72F3"/>
    <w:pPr>
      <w:keepNext/>
      <w:keepLines/>
      <w:numPr>
        <w:ilvl w:val="1"/>
        <w:numId w:val="1"/>
      </w:numPr>
      <w:spacing w:before="200" w:line="360" w:lineRule="auto"/>
      <w:ind w:left="792"/>
      <w:outlineLvl w:val="1"/>
    </w:pPr>
    <w:rPr>
      <w:rFonts w:ascii="Verdana" w:eastAsia="Tahoma" w:hAnsi="Verdana" w:cs="Tahoma"/>
      <w:b/>
      <w:bCs/>
      <w:color w:val="8496B0" w:themeColor="text2" w:themeTint="99"/>
      <w:sz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72F3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8496B0" w:themeColor="text2" w:themeTint="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72F3"/>
    <w:rPr>
      <w:rFonts w:ascii="Verdana" w:eastAsiaTheme="majorEastAsia" w:hAnsi="Verdana" w:cstheme="majorBidi"/>
      <w:b/>
      <w:bCs/>
      <w:color w:val="2C6EAB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972F3"/>
    <w:rPr>
      <w:rFonts w:ascii="Verdana" w:eastAsia="Tahoma" w:hAnsi="Verdana" w:cs="Tahoma"/>
      <w:b/>
      <w:bCs/>
      <w:color w:val="8496B0" w:themeColor="text2" w:themeTint="99"/>
      <w:sz w:val="26"/>
    </w:rPr>
  </w:style>
  <w:style w:type="character" w:customStyle="1" w:styleId="Titre3Car">
    <w:name w:val="Titre 3 Car"/>
    <w:basedOn w:val="Policepardfaut"/>
    <w:link w:val="Titre3"/>
    <w:uiPriority w:val="9"/>
    <w:rsid w:val="00E972F3"/>
    <w:rPr>
      <w:rFonts w:ascii="Verdana" w:eastAsiaTheme="majorEastAsia" w:hAnsi="Verdana" w:cstheme="majorBidi"/>
      <w:b/>
      <w:bCs/>
      <w:color w:val="8496B0" w:themeColor="text2" w:themeTint="99"/>
    </w:rPr>
  </w:style>
  <w:style w:type="paragraph" w:styleId="Paragraphedeliste">
    <w:name w:val="List Paragraph"/>
    <w:aliases w:val="References,Paragraphe de liste1,Numbered List Paragraph,Bullets,ReferencesCxSpLast,Lapis Bulleted List,List Paragraph1,document,e,oire"/>
    <w:basedOn w:val="Normal"/>
    <w:link w:val="ParagraphedelisteCar"/>
    <w:uiPriority w:val="34"/>
    <w:qFormat/>
    <w:rsid w:val="00E972F3"/>
    <w:pPr>
      <w:ind w:left="720"/>
      <w:contextualSpacing/>
    </w:pPr>
  </w:style>
  <w:style w:type="character" w:customStyle="1" w:styleId="ParagraphedelisteCar">
    <w:name w:val="Paragraphe de liste Car"/>
    <w:aliases w:val="References Car,Paragraphe de liste1 Car,Numbered List Paragraph Car,Bullets Car,ReferencesCxSpLast Car,Lapis Bulleted List Car,List Paragraph1 Car,document Car,e Car,oire Car"/>
    <w:link w:val="Paragraphedeliste"/>
    <w:uiPriority w:val="34"/>
    <w:rsid w:val="00E972F3"/>
    <w:rPr>
      <w:rFonts w:ascii="Calibri" w:eastAsia="Calibri" w:hAnsi="Calibri" w:cs="Calibri"/>
    </w:rPr>
  </w:style>
  <w:style w:type="character" w:styleId="Appelnotedebasdep">
    <w:name w:val="footnote reference"/>
    <w:uiPriority w:val="99"/>
    <w:unhideWhenUsed/>
    <w:rsid w:val="00E972F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972F3"/>
    <w:pPr>
      <w:jc w:val="left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972F3"/>
    <w:rPr>
      <w:rFonts w:ascii="Calibri" w:eastAsia="Calibri" w:hAnsi="Calibri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972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2F3"/>
    <w:rPr>
      <w:rFonts w:ascii="Calibri" w:eastAsia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E972F3"/>
  </w:style>
  <w:style w:type="paragraph" w:styleId="Sansinterligne">
    <w:name w:val="No Spacing"/>
    <w:uiPriority w:val="1"/>
    <w:qFormat/>
    <w:rsid w:val="00E972F3"/>
    <w:pPr>
      <w:spacing w:after="0" w:line="240" w:lineRule="auto"/>
      <w:jc w:val="both"/>
    </w:pPr>
    <w:rPr>
      <w:rFonts w:ascii="Verdana" w:eastAsia="Calibri" w:hAnsi="Verdan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AGOSSOU</dc:creator>
  <cp:keywords/>
  <dc:description/>
  <cp:lastModifiedBy>Cyrille AGOSSOU</cp:lastModifiedBy>
  <cp:revision>1</cp:revision>
  <dcterms:created xsi:type="dcterms:W3CDTF">2022-08-25T11:28:00Z</dcterms:created>
  <dcterms:modified xsi:type="dcterms:W3CDTF">2022-08-25T11:29:00Z</dcterms:modified>
</cp:coreProperties>
</file>